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B02D3" w14:textId="157085F0" w:rsidR="006205FA" w:rsidRPr="006205FA" w:rsidRDefault="006205FA"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bookmarkStart w:id="0" w:name="_GoBack"/>
      <w:bookmarkEnd w:id="0"/>
      <w:r w:rsidRPr="006205FA">
        <w:rPr>
          <w:rFonts w:ascii="Arial" w:eastAsia="Calibri" w:hAnsi="Arial" w:cs="Arial"/>
        </w:rPr>
        <w:t>READ THIS FIRST</w:t>
      </w:r>
    </w:p>
    <w:p w14:paraId="0BE85A22" w14:textId="13A35CE4" w:rsidR="006205FA" w:rsidRPr="006205FA" w:rsidRDefault="00DC1EB7"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Times New Roman"/>
        </w:rPr>
      </w:pPr>
      <w:r w:rsidRPr="00DC1EB7">
        <w:rPr>
          <w:rFonts w:ascii="Arial" w:eastAsia="Calibri" w:hAnsi="Arial" w:cs="Times New Roman"/>
        </w:rPr>
        <w:t xml:space="preserve">The Engineer shall verify that the latest version of the Federal Aviation Administration Advisory Circular AC 150/5370-10, “Standards for Specifying Construction Of Airports” and that the latest version of the “Errata Sheet for Advisory Circular (AC) 150/5370-10, Standard Specifications for Construction of Airports” are incorporated into this specification.  </w:t>
      </w:r>
    </w:p>
    <w:p w14:paraId="6BD67908" w14:textId="77777777" w:rsidR="006205FA" w:rsidRPr="006205FA" w:rsidRDefault="006205FA"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Times New Roman"/>
        </w:rPr>
      </w:pPr>
      <w:r w:rsidRPr="006205FA">
        <w:rPr>
          <w:rFonts w:ascii="Arial" w:eastAsia="Calibri" w:hAnsi="Arial" w:cs="Times New Roman"/>
        </w:rPr>
        <w:t>Notice to the Design Engineer, please refer to the Port of Seattle, Facilities and Infrastructure standards for reference before editing this specification.</w:t>
      </w:r>
    </w:p>
    <w:p w14:paraId="1DEE07F7" w14:textId="77777777" w:rsidR="006205FA" w:rsidRPr="006205FA" w:rsidRDefault="006205FA"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6205FA">
        <w:rPr>
          <w:rFonts w:ascii="Arial" w:eastAsia="Calibri"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FB46379" w14:textId="77777777" w:rsidR="006205FA" w:rsidRPr="006205FA" w:rsidRDefault="006205FA"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6205FA">
        <w:rPr>
          <w:rFonts w:ascii="Arial" w:eastAsia="Calibri"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56590381" w14:textId="77777777" w:rsidR="006205FA" w:rsidRPr="006205FA" w:rsidRDefault="006205FA" w:rsidP="006205FA">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Calibri" w:hAnsi="Arial" w:cs="Arial"/>
        </w:rPr>
      </w:pPr>
      <w:r w:rsidRPr="006205FA">
        <w:rPr>
          <w:rFonts w:ascii="Arial" w:eastAsia="Calibri"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2FE850F1" w14:textId="6D2039C8" w:rsidR="006205FA" w:rsidRPr="006205FA" w:rsidRDefault="006205FA" w:rsidP="006205FA">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1 </w:t>
      </w:r>
      <w:r w:rsidRPr="006205FA">
        <w:rPr>
          <w:rFonts w:ascii="Arial" w:eastAsia="Times New Roman" w:hAnsi="Arial" w:cs="Times New Roman"/>
          <w:szCs w:val="24"/>
          <w:u w:val="single"/>
        </w:rPr>
        <w:t>GENERAL</w:t>
      </w:r>
    </w:p>
    <w:p w14:paraId="7E7608A9" w14:textId="77777777" w:rsidR="006205FA" w:rsidRPr="006205FA" w:rsidRDefault="006205FA" w:rsidP="006205FA">
      <w:pPr>
        <w:numPr>
          <w:ilvl w:val="1"/>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SUMMARY OF WORK</w:t>
      </w:r>
    </w:p>
    <w:p w14:paraId="113736CE" w14:textId="4E930116" w:rsidR="006205FA" w:rsidRPr="00F361FE" w:rsidRDefault="00EA0427" w:rsidP="00F361FE">
      <w:pPr>
        <w:pStyle w:val="ListParagraph"/>
        <w:numPr>
          <w:ilvl w:val="2"/>
          <w:numId w:val="1"/>
        </w:numPr>
        <w:rPr>
          <w:rFonts w:ascii="Arial" w:eastAsia="Times New Roman" w:hAnsi="Arial" w:cs="Arial"/>
        </w:rPr>
      </w:pPr>
      <w:r w:rsidRPr="00F361FE">
        <w:rPr>
          <w:rFonts w:ascii="Arial" w:eastAsia="Times New Roman" w:hAnsi="Arial" w:cs="Arial"/>
        </w:rPr>
        <w:t>The location and extent of “Concrete Culverts, Headwalls, and Miscellaneous Drainage Structures (FAA)” Work is indicated in the Contract Documents. Culverts, headwalls, miscellaneous concrete and reinforced concrete drainage structures shall be provided in accordance with the applicable provisions of FAA Item D-752, Concrete Culverts, Headwalls, and Miscellaneous Drainage Structures, attached hereto.</w:t>
      </w:r>
    </w:p>
    <w:p w14:paraId="0E3E369C" w14:textId="77777777" w:rsidR="006205FA" w:rsidRPr="006205FA" w:rsidRDefault="006205FA" w:rsidP="006205FA">
      <w:pPr>
        <w:numPr>
          <w:ilvl w:val="1"/>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GOVERNING CODES, STANDARDS, AND REFERENCES</w:t>
      </w:r>
    </w:p>
    <w:p w14:paraId="03C1B3E0" w14:textId="77777777" w:rsidR="006205FA" w:rsidRPr="006205FA" w:rsidRDefault="006205FA" w:rsidP="006205FA">
      <w:pPr>
        <w:numPr>
          <w:ilvl w:val="2"/>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TBD</w:t>
      </w:r>
    </w:p>
    <w:p w14:paraId="391E4A81" w14:textId="77777777" w:rsidR="006205FA" w:rsidRPr="006205FA" w:rsidRDefault="006205FA" w:rsidP="006205FA">
      <w:pPr>
        <w:numPr>
          <w:ilvl w:val="1"/>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SUBMITTALS</w:t>
      </w:r>
    </w:p>
    <w:p w14:paraId="5A1CFE32" w14:textId="77777777" w:rsidR="006205FA" w:rsidRPr="006205FA" w:rsidRDefault="006205FA" w:rsidP="006205FA">
      <w:pPr>
        <w:numPr>
          <w:ilvl w:val="2"/>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 xml:space="preserve">Submit materials data in accordance with Section 01 33 00 - Submittals. Furnish manufacturers’ technical literature, standard details, product specifications, and installation instructions for all products. </w:t>
      </w:r>
    </w:p>
    <w:p w14:paraId="25509B02" w14:textId="77777777" w:rsidR="006205FA" w:rsidRPr="006205FA" w:rsidRDefault="006205FA" w:rsidP="006205FA">
      <w:pPr>
        <w:numPr>
          <w:ilvl w:val="2"/>
          <w:numId w:val="1"/>
        </w:numPr>
        <w:spacing w:after="120" w:line="240" w:lineRule="auto"/>
        <w:rPr>
          <w:rFonts w:ascii="Arial" w:eastAsia="Times New Roman" w:hAnsi="Arial" w:cs="Times New Roman"/>
          <w:szCs w:val="24"/>
        </w:rPr>
      </w:pPr>
      <w:r w:rsidRPr="006205FA">
        <w:rPr>
          <w:rFonts w:ascii="Arial" w:eastAsia="Times New Roman" w:hAnsi="Arial" w:cs="Times New Roman"/>
          <w:szCs w:val="24"/>
        </w:rPr>
        <w:t>Submittals shall include the following:</w:t>
      </w:r>
    </w:p>
    <w:p w14:paraId="20576336" w14:textId="00D1D737" w:rsidR="006205FA" w:rsidRPr="006205FA" w:rsidRDefault="006205FA" w:rsidP="006205FA">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2 </w:t>
      </w:r>
      <w:r w:rsidRPr="006205FA">
        <w:rPr>
          <w:rFonts w:ascii="Arial" w:eastAsia="Times New Roman" w:hAnsi="Arial" w:cs="Times New Roman"/>
          <w:szCs w:val="24"/>
          <w:u w:val="single"/>
        </w:rPr>
        <w:t>NOT USED</w:t>
      </w:r>
    </w:p>
    <w:p w14:paraId="5385CD08" w14:textId="0EC9B0D8" w:rsidR="006205FA" w:rsidRPr="006205FA" w:rsidRDefault="006205FA" w:rsidP="006205FA">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3 </w:t>
      </w:r>
      <w:r w:rsidRPr="006205FA">
        <w:rPr>
          <w:rFonts w:ascii="Arial" w:eastAsia="Times New Roman" w:hAnsi="Arial" w:cs="Times New Roman"/>
          <w:szCs w:val="24"/>
          <w:u w:val="single"/>
        </w:rPr>
        <w:t>NOT USED</w:t>
      </w:r>
    </w:p>
    <w:p w14:paraId="4F179182" w14:textId="7F637CC7" w:rsidR="006205FA" w:rsidRPr="006205FA" w:rsidRDefault="006205FA" w:rsidP="006205FA">
      <w:pPr>
        <w:spacing w:after="120" w:line="240" w:lineRule="auto"/>
        <w:ind w:left="720"/>
        <w:rPr>
          <w:rFonts w:ascii="Arial" w:eastAsia="Times New Roman" w:hAnsi="Arial" w:cs="Times New Roman"/>
          <w:szCs w:val="24"/>
          <w:u w:val="single"/>
        </w:rPr>
      </w:pPr>
      <w:r>
        <w:rPr>
          <w:rFonts w:ascii="Arial" w:eastAsia="Times New Roman" w:hAnsi="Arial" w:cs="Times New Roman"/>
          <w:szCs w:val="24"/>
          <w:u w:val="single"/>
        </w:rPr>
        <w:t xml:space="preserve">PART 4 </w:t>
      </w:r>
      <w:r w:rsidRPr="006205FA">
        <w:rPr>
          <w:rFonts w:ascii="Arial" w:eastAsia="Times New Roman" w:hAnsi="Arial" w:cs="Times New Roman"/>
          <w:szCs w:val="24"/>
          <w:u w:val="single"/>
        </w:rPr>
        <w:t>NOT USED</w:t>
      </w:r>
    </w:p>
    <w:p w14:paraId="56360DC1" w14:textId="77777777" w:rsidR="006205FA" w:rsidRPr="006205FA" w:rsidRDefault="006205FA" w:rsidP="006205FA">
      <w:pPr>
        <w:spacing w:after="120" w:line="240" w:lineRule="auto"/>
        <w:ind w:left="720"/>
        <w:rPr>
          <w:rFonts w:ascii="Arial" w:eastAsia="Times New Roman" w:hAnsi="Arial" w:cs="Times New Roman"/>
          <w:szCs w:val="24"/>
        </w:rPr>
      </w:pPr>
    </w:p>
    <w:p w14:paraId="72BA83AC" w14:textId="77777777" w:rsidR="006205FA" w:rsidRPr="006205FA" w:rsidRDefault="006205FA" w:rsidP="006205FA">
      <w:pPr>
        <w:pBdr>
          <w:top w:val="single" w:sz="2" w:space="8" w:color="auto"/>
          <w:left w:val="single" w:sz="2" w:space="4" w:color="auto"/>
          <w:bottom w:val="single" w:sz="2" w:space="8" w:color="auto"/>
          <w:right w:val="single" w:sz="2" w:space="4" w:color="auto"/>
        </w:pBdr>
        <w:spacing w:before="840" w:after="120" w:line="240" w:lineRule="auto"/>
        <w:ind w:left="720" w:right="144"/>
        <w:jc w:val="center"/>
        <w:rPr>
          <w:rFonts w:ascii="Arial" w:eastAsia="Times New Roman" w:hAnsi="Arial" w:cs="Arial"/>
        </w:rPr>
      </w:pPr>
      <w:r w:rsidRPr="006205FA">
        <w:rPr>
          <w:rFonts w:ascii="Arial" w:eastAsia="Times New Roman" w:hAnsi="Arial" w:cs="Arial"/>
        </w:rPr>
        <w:lastRenderedPageBreak/>
        <w:t>End of Section</w:t>
      </w:r>
    </w:p>
    <w:p w14:paraId="785A4029" w14:textId="77777777" w:rsidR="006205FA" w:rsidRPr="006205FA" w:rsidRDefault="006205FA" w:rsidP="006205FA">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6205FA">
        <w:rPr>
          <w:rFonts w:ascii="Arial" w:eastAsia="Times New Roman" w:hAnsi="Arial" w:cs="Times New Roman"/>
          <w:szCs w:val="24"/>
        </w:rPr>
        <w:t>Revision History:</w:t>
      </w:r>
    </w:p>
    <w:p w14:paraId="395C6DA4" w14:textId="77777777" w:rsidR="006205FA" w:rsidRPr="006205FA" w:rsidRDefault="006205FA" w:rsidP="006205FA">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6205FA">
        <w:rPr>
          <w:rFonts w:ascii="Arial" w:eastAsia="Times New Roman" w:hAnsi="Arial" w:cs="Times New Roman"/>
          <w:szCs w:val="24"/>
        </w:rPr>
        <w:t>05/01/2014 Conversion to 2004 CSI Numbering System</w:t>
      </w:r>
    </w:p>
    <w:p w14:paraId="29E6F316" w14:textId="3AB5CC51" w:rsidR="006205FA" w:rsidRDefault="006205FA" w:rsidP="006205FA">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6205FA">
        <w:rPr>
          <w:rFonts w:ascii="Arial" w:eastAsia="Times New Roman" w:hAnsi="Arial" w:cs="Times New Roman"/>
          <w:szCs w:val="24"/>
        </w:rPr>
        <w:t>10/15/2014 Added Sole Source and Salient Characteristics Note to Part 2 and revisions</w:t>
      </w:r>
    </w:p>
    <w:p w14:paraId="6B6C1A50" w14:textId="4D23D52D" w:rsidR="001A4F30" w:rsidRPr="006205FA" w:rsidRDefault="001A4F30" w:rsidP="006205FA">
      <w:pPr>
        <w:pBdr>
          <w:top w:val="single" w:sz="2" w:space="8" w:color="auto"/>
          <w:left w:val="single" w:sz="2" w:space="4" w:color="auto"/>
          <w:bottom w:val="single" w:sz="2" w:space="8" w:color="auto"/>
          <w:right w:val="single" w:sz="2" w:space="4" w:color="auto"/>
        </w:pBdr>
        <w:spacing w:before="120" w:after="120" w:line="240" w:lineRule="auto"/>
        <w:ind w:left="720" w:right="144"/>
        <w:rPr>
          <w:rFonts w:ascii="Arial" w:eastAsia="Times New Roman" w:hAnsi="Arial" w:cs="Times New Roman"/>
          <w:szCs w:val="24"/>
        </w:rPr>
      </w:pPr>
      <w:r w:rsidRPr="001A4F30">
        <w:rPr>
          <w:rFonts w:ascii="Arial" w:eastAsia="Times New Roman" w:hAnsi="Arial" w:cs="Times New Roman"/>
          <w:szCs w:val="24"/>
        </w:rPr>
        <w:t>0</w:t>
      </w:r>
      <w:r>
        <w:rPr>
          <w:rFonts w:ascii="Arial" w:eastAsia="Times New Roman" w:hAnsi="Arial" w:cs="Times New Roman"/>
          <w:szCs w:val="24"/>
        </w:rPr>
        <w:t>2</w:t>
      </w:r>
      <w:r w:rsidRPr="001A4F30">
        <w:rPr>
          <w:rFonts w:ascii="Arial" w:eastAsia="Times New Roman" w:hAnsi="Arial" w:cs="Times New Roman"/>
          <w:szCs w:val="24"/>
        </w:rPr>
        <w:t>/</w:t>
      </w:r>
      <w:r>
        <w:rPr>
          <w:rFonts w:ascii="Arial" w:eastAsia="Times New Roman" w:hAnsi="Arial" w:cs="Times New Roman"/>
          <w:szCs w:val="24"/>
        </w:rPr>
        <w:t>21</w:t>
      </w:r>
      <w:r w:rsidRPr="001A4F30">
        <w:rPr>
          <w:rFonts w:ascii="Arial" w:eastAsia="Times New Roman" w:hAnsi="Arial" w:cs="Times New Roman"/>
          <w:szCs w:val="24"/>
        </w:rPr>
        <w:t>/2020 Revised per FAA AC 150/5370-10H including errata through 11/12/2019</w:t>
      </w:r>
    </w:p>
    <w:p w14:paraId="24760072" w14:textId="2D0AECE5" w:rsidR="006205FA" w:rsidRDefault="006205FA" w:rsidP="00DC5F5A"/>
    <w:p w14:paraId="172ED859" w14:textId="7B2E88EC" w:rsidR="00F361FE" w:rsidRDefault="00F361FE" w:rsidP="00DC5F5A"/>
    <w:p w14:paraId="4347C796" w14:textId="54DCE7A3" w:rsidR="00F361FE" w:rsidRDefault="00F361FE" w:rsidP="00DC5F5A"/>
    <w:p w14:paraId="39AF4A08" w14:textId="5EA266C2" w:rsidR="00F361FE" w:rsidRDefault="00F361FE" w:rsidP="00DC5F5A"/>
    <w:p w14:paraId="174D0435" w14:textId="3E59C1F3" w:rsidR="00F361FE" w:rsidRDefault="00F361FE" w:rsidP="00DC5F5A"/>
    <w:p w14:paraId="14725A0A" w14:textId="4B7A2AF9" w:rsidR="00F361FE" w:rsidRDefault="00F361FE" w:rsidP="00DC5F5A"/>
    <w:p w14:paraId="28CF68ED" w14:textId="6D0F9FF5" w:rsidR="00F361FE" w:rsidRDefault="00F361FE" w:rsidP="00DC5F5A"/>
    <w:p w14:paraId="0B787125" w14:textId="322AF1E2" w:rsidR="00F361FE" w:rsidRDefault="00F361FE" w:rsidP="00DC5F5A"/>
    <w:p w14:paraId="348E3BBA" w14:textId="0BC9535F" w:rsidR="00F361FE" w:rsidRDefault="00F361FE" w:rsidP="00DC5F5A"/>
    <w:p w14:paraId="45901411" w14:textId="11DA1EA3" w:rsidR="00F361FE" w:rsidRDefault="00F361FE" w:rsidP="00DC5F5A"/>
    <w:p w14:paraId="77D60EDB" w14:textId="19F9AB08" w:rsidR="00F361FE" w:rsidRDefault="00F361FE" w:rsidP="00DC5F5A"/>
    <w:p w14:paraId="1A231951" w14:textId="2A223C74" w:rsidR="00F361FE" w:rsidRDefault="00F361FE" w:rsidP="00DC5F5A"/>
    <w:p w14:paraId="7E75E9DB" w14:textId="2EC289FE" w:rsidR="00F361FE" w:rsidRDefault="00F361FE" w:rsidP="00DC5F5A"/>
    <w:p w14:paraId="78349D6D" w14:textId="7E961F0D" w:rsidR="00F361FE" w:rsidRDefault="00F361FE" w:rsidP="00DC5F5A"/>
    <w:p w14:paraId="60323912" w14:textId="786C03A3" w:rsidR="00F361FE" w:rsidRDefault="00F361FE" w:rsidP="00DC5F5A"/>
    <w:p w14:paraId="62D46CE3" w14:textId="77777777" w:rsidR="00F361FE" w:rsidRDefault="00F361FE" w:rsidP="00DC5F5A"/>
    <w:p w14:paraId="605E5777" w14:textId="77777777" w:rsidR="000A10ED" w:rsidRPr="000A10ED" w:rsidRDefault="000A10ED" w:rsidP="000A10ED">
      <w:pPr>
        <w:keepNext/>
        <w:tabs>
          <w:tab w:val="left" w:pos="720"/>
          <w:tab w:val="left" w:pos="1440"/>
          <w:tab w:val="left" w:pos="2160"/>
        </w:tabs>
        <w:spacing w:before="720" w:after="720" w:line="240" w:lineRule="auto"/>
        <w:jc w:val="center"/>
        <w:outlineLvl w:val="1"/>
        <w:rPr>
          <w:rFonts w:ascii="Times New Roman" w:eastAsia="Times New Roman" w:hAnsi="Times New Roman" w:cs="Times New Roman"/>
          <w:b/>
        </w:rPr>
      </w:pPr>
      <w:bookmarkStart w:id="1" w:name="_Ref301943691"/>
      <w:bookmarkStart w:id="2" w:name="_Toc306359520"/>
      <w:bookmarkStart w:id="3" w:name="_Toc533170128"/>
      <w:r w:rsidRPr="000A10ED">
        <w:rPr>
          <w:rFonts w:ascii="Times New Roman" w:eastAsia="Times New Roman" w:hAnsi="Times New Roman" w:cs="Times New Roman"/>
          <w:b/>
        </w:rPr>
        <w:lastRenderedPageBreak/>
        <w:t>Item D-752 Concrete Culverts, Headwalls, and Miscellaneous Drainage Structures</w:t>
      </w:r>
      <w:bookmarkEnd w:id="1"/>
      <w:bookmarkEnd w:id="2"/>
      <w:bookmarkEnd w:id="3"/>
    </w:p>
    <w:p w14:paraId="1E4E4880" w14:textId="77777777" w:rsidR="000A10ED" w:rsidRP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DESCRIPTION</w:t>
      </w:r>
    </w:p>
    <w:p w14:paraId="3C4008ED"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bCs/>
          <w:szCs w:val="20"/>
        </w:rPr>
        <w:t>752-1.1</w:t>
      </w:r>
      <w:r w:rsidRPr="000A10ED">
        <w:rPr>
          <w:rFonts w:ascii="Times New Roman" w:eastAsia="Times New Roman" w:hAnsi="Times New Roman" w:cs="Times New Roman"/>
          <w:szCs w:val="20"/>
        </w:rPr>
        <w:t xml:space="preserve"> This item shall consist of </w:t>
      </w:r>
      <w:r w:rsidRPr="000A10ED">
        <w:rPr>
          <w:rFonts w:ascii="Times New Roman" w:eastAsia="Times New Roman" w:hAnsi="Times New Roman" w:cs="Times New Roman"/>
          <w:b/>
          <w:szCs w:val="20"/>
        </w:rPr>
        <w:t>[   </w:t>
      </w:r>
      <w:r w:rsidRPr="000A10ED">
        <w:rPr>
          <w:rFonts w:ascii="Courier New" w:eastAsia="Times New Roman" w:hAnsi="Courier New" w:cs="Times New Roman"/>
        </w:rPr>
        <w:t>plain</w:t>
      </w:r>
      <w:r w:rsidRPr="000A10ED">
        <w:rPr>
          <w:rFonts w:ascii="Times New Roman" w:eastAsia="Times New Roman" w:hAnsi="Times New Roman" w:cs="Times New Roman"/>
          <w:b/>
          <w:szCs w:val="20"/>
        </w:rPr>
        <w:t>   ]</w:t>
      </w:r>
      <w:r w:rsidRPr="000A10ED">
        <w:rPr>
          <w:rFonts w:ascii="Times New Roman" w:eastAsia="Times New Roman" w:hAnsi="Times New Roman" w:cs="Times New Roman"/>
          <w:szCs w:val="20"/>
        </w:rPr>
        <w:t xml:space="preserve"> </w:t>
      </w:r>
      <w:r w:rsidRPr="000A10ED">
        <w:rPr>
          <w:rFonts w:ascii="Times New Roman" w:eastAsia="Times New Roman" w:hAnsi="Times New Roman" w:cs="Times New Roman"/>
          <w:b/>
          <w:szCs w:val="20"/>
        </w:rPr>
        <w:t>[   </w:t>
      </w:r>
      <w:r w:rsidRPr="000A10ED">
        <w:rPr>
          <w:rFonts w:ascii="Courier New" w:eastAsia="Times New Roman" w:hAnsi="Courier New" w:cs="Times New Roman"/>
        </w:rPr>
        <w:t>reinforced</w:t>
      </w:r>
      <w:r w:rsidRPr="000A10ED">
        <w:rPr>
          <w:rFonts w:ascii="Times New Roman" w:eastAsia="Times New Roman" w:hAnsi="Times New Roman" w:cs="Times New Roman"/>
          <w:b/>
          <w:szCs w:val="20"/>
        </w:rPr>
        <w:t>   ]</w:t>
      </w:r>
      <w:r w:rsidRPr="000A10ED">
        <w:rPr>
          <w:rFonts w:ascii="Times New Roman" w:eastAsia="Times New Roman" w:hAnsi="Times New Roman" w:cs="Times New Roman"/>
          <w:szCs w:val="20"/>
        </w:rPr>
        <w:t xml:space="preserve"> concrete culverts, headwalls, and miscellaneous drainage structures constructed in accordance with these specifications, at the specified locations and conforming to the lines, grades, and dimensions shown on the plans or required by the RPR.</w:t>
      </w:r>
    </w:p>
    <w:p w14:paraId="7FA34F4D" w14:textId="07B1FB1C" w:rsid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MATERIALS</w:t>
      </w:r>
    </w:p>
    <w:p w14:paraId="69E46BA0" w14:textId="77777777" w:rsidR="00473113" w:rsidRPr="00473113" w:rsidRDefault="00473113" w:rsidP="00F361F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473113">
        <w:rPr>
          <w:rFonts w:ascii="Arial" w:eastAsia="Times New Roman" w:hAnsi="Arial" w:cs="Times New Roman"/>
          <w:szCs w:val="24"/>
        </w:rPr>
        <w:t>A.</w:t>
      </w:r>
      <w:r w:rsidRPr="00473113">
        <w:rPr>
          <w:rFonts w:ascii="Arial" w:eastAsia="Times New Roman" w:hAnsi="Arial"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B26261B" w14:textId="4FC59FC7" w:rsidR="00473113" w:rsidRPr="00F361FE" w:rsidRDefault="00473113" w:rsidP="00F361FE">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473113">
        <w:rPr>
          <w:rFonts w:ascii="Arial" w:eastAsia="Times New Roman" w:hAnsi="Arial" w:cs="Times New Roman"/>
          <w:szCs w:val="24"/>
        </w:rPr>
        <w:t>B.</w:t>
      </w:r>
      <w:r w:rsidRPr="00473113">
        <w:rPr>
          <w:rFonts w:ascii="Arial" w:eastAsia="Times New Roman" w:hAnsi="Arial"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72629B2"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752-2.1 Concrete.</w:t>
      </w:r>
      <w:r w:rsidRPr="000A10ED">
        <w:rPr>
          <w:rFonts w:ascii="Times New Roman" w:eastAsia="Times New Roman" w:hAnsi="Times New Roman" w:cs="Times New Roman"/>
          <w:szCs w:val="20"/>
        </w:rPr>
        <w:t xml:space="preserve"> </w:t>
      </w:r>
      <w:r w:rsidRPr="000A10ED">
        <w:rPr>
          <w:rFonts w:ascii="Times New Roman" w:eastAsia="Times New Roman" w:hAnsi="Times New Roman" w:cs="Times New Roman"/>
          <w:b/>
          <w:szCs w:val="20"/>
        </w:rPr>
        <w:t>[   </w:t>
      </w:r>
      <w:r w:rsidRPr="000A10ED">
        <w:rPr>
          <w:rFonts w:ascii="Courier New" w:eastAsia="Times New Roman" w:hAnsi="Courier New" w:cs="Times New Roman"/>
        </w:rPr>
        <w:t>Plain</w:t>
      </w:r>
      <w:r w:rsidRPr="000A10ED">
        <w:rPr>
          <w:rFonts w:ascii="Times New Roman" w:eastAsia="Times New Roman" w:hAnsi="Times New Roman" w:cs="Times New Roman"/>
          <w:b/>
          <w:szCs w:val="20"/>
        </w:rPr>
        <w:t>   ] [   </w:t>
      </w:r>
      <w:r w:rsidRPr="000A10ED">
        <w:rPr>
          <w:rFonts w:ascii="Courier New" w:eastAsia="Times New Roman" w:hAnsi="Courier New" w:cs="Times New Roman"/>
        </w:rPr>
        <w:t>Reinforced</w:t>
      </w:r>
      <w:r w:rsidRPr="000A10ED">
        <w:rPr>
          <w:rFonts w:ascii="Times New Roman" w:eastAsia="Times New Roman" w:hAnsi="Times New Roman" w:cs="Times New Roman"/>
          <w:b/>
          <w:szCs w:val="20"/>
        </w:rPr>
        <w:t>   ]</w:t>
      </w:r>
      <w:r w:rsidRPr="000A10ED">
        <w:rPr>
          <w:rFonts w:ascii="Times New Roman" w:eastAsia="Times New Roman" w:hAnsi="Times New Roman" w:cs="Times New Roman"/>
          <w:szCs w:val="20"/>
        </w:rPr>
        <w:t xml:space="preserve"> concrete shall meet the requirements of Item P-610.</w:t>
      </w:r>
    </w:p>
    <w:p w14:paraId="4E1A5AB8" w14:textId="77777777" w:rsidR="000A10ED" w:rsidRP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CONSTRUCTION METHODS</w:t>
      </w:r>
    </w:p>
    <w:p w14:paraId="64172281"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0A10ED">
        <w:rPr>
          <w:rFonts w:ascii="Times New Roman" w:eastAsia="Times New Roman" w:hAnsi="Times New Roman" w:cs="Times New Roman"/>
          <w:b/>
          <w:szCs w:val="20"/>
        </w:rPr>
        <w:t>752-3.1 Unclassified excavation.</w:t>
      </w:r>
    </w:p>
    <w:p w14:paraId="66938AA6"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a.</w:t>
      </w:r>
      <w:r w:rsidRPr="000A10ED">
        <w:rPr>
          <w:rFonts w:ascii="Times New Roman" w:eastAsia="Times New Roman" w:hAnsi="Times New Roman" w:cs="Times New Roman"/>
          <w:bCs/>
          <w:szCs w:val="20"/>
        </w:rPr>
        <w:t xml:space="preserve"> Trenches and foundation pits for structures or structure footings shall be excavated to the lines and grades and elevations shown on the plans. The excavation shall be of sufficient size to permit the placing of the full width and length of the structure or structure footings shown. The elevations of the bottoms of footings, as shown on the plans, shall be considered as approximate only; and the RPR may approve, in writing, changes in dimensions or elevations of footings necessary to secure a satisfactory foundation.</w:t>
      </w:r>
    </w:p>
    <w:p w14:paraId="453AEFB3"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b.</w:t>
      </w:r>
      <w:r w:rsidRPr="000A10ED">
        <w:rPr>
          <w:rFonts w:ascii="Times New Roman" w:eastAsia="Times New Roman" w:hAnsi="Times New Roman" w:cs="Times New Roman"/>
          <w:bCs/>
          <w:szCs w:val="20"/>
        </w:rPr>
        <w:t xml:space="preserve"> Boulders, logs, or any other objectionable material encountered in excavation shall be removed. All rock or other hard foundation material shall be cleaned of all loose material and cut to a firm surface either level, stepped, or serrated, as directed by the RPR. All seams or crevices shall be cleaned out and grouted. All loose and disintegrated rock and thin strata shall be removed. When concrete will rest on a surface other than rock, the bottom of the excavation shall not be disturbed and excavation to final grade shall not be made until immediately before the concrete or reinforcing steel is placed. </w:t>
      </w:r>
    </w:p>
    <w:p w14:paraId="010A875D"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c.</w:t>
      </w:r>
      <w:r w:rsidRPr="000A10ED">
        <w:rPr>
          <w:rFonts w:ascii="Times New Roman" w:eastAsia="Times New Roman" w:hAnsi="Times New Roman" w:cs="Times New Roman"/>
          <w:bCs/>
          <w:szCs w:val="20"/>
        </w:rPr>
        <w:t xml:space="preserve"> The Contractor shall do all bracing, sheathing, or shoring necessary to perform and protect the excavation and the structure as required for safety or conformance to governing laws. The cost of bracing, sheathing, or shoring shall be included in the unit price bid for excavation.</w:t>
      </w:r>
    </w:p>
    <w:p w14:paraId="0BF7AC64"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d.</w:t>
      </w:r>
      <w:r w:rsidRPr="000A10ED">
        <w:rPr>
          <w:rFonts w:ascii="Times New Roman" w:eastAsia="Times New Roman" w:hAnsi="Times New Roman" w:cs="Times New Roman"/>
          <w:bCs/>
          <w:szCs w:val="20"/>
        </w:rPr>
        <w:t xml:space="preserve"> All bracing, sheathing, or shoring shall be removed by the Contractor after the completion of the structure. Removal shall not disturb or damage the finished concrete. The cost of removal shall be included in the unit price bid for excavation.</w:t>
      </w:r>
    </w:p>
    <w:p w14:paraId="379D353F"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
          <w:bCs/>
          <w:szCs w:val="20"/>
        </w:rPr>
      </w:pPr>
      <w:r w:rsidRPr="000A10ED">
        <w:rPr>
          <w:rFonts w:ascii="Times New Roman" w:eastAsia="Times New Roman" w:hAnsi="Times New Roman" w:cs="Times New Roman"/>
          <w:b/>
          <w:bCs/>
          <w:szCs w:val="20"/>
        </w:rPr>
        <w:t>e.</w:t>
      </w:r>
      <w:r w:rsidRPr="000A10ED">
        <w:rPr>
          <w:rFonts w:ascii="Times New Roman" w:eastAsia="Times New Roman" w:hAnsi="Times New Roman" w:cs="Times New Roman"/>
          <w:bCs/>
          <w:szCs w:val="20"/>
        </w:rPr>
        <w:t xml:space="preserve"> After each excavation is completed, the Contractor shall notify the RPR. No concrete or reinforcing steel shall be placed until the RPR has approved the depth of the excavation and the character of the foundation material.</w:t>
      </w:r>
    </w:p>
    <w:p w14:paraId="25108AB7"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b/>
          <w:szCs w:val="20"/>
        </w:rPr>
      </w:pPr>
      <w:r w:rsidRPr="000A10ED">
        <w:rPr>
          <w:rFonts w:ascii="Times New Roman" w:eastAsia="Times New Roman" w:hAnsi="Times New Roman" w:cs="Times New Roman"/>
          <w:b/>
          <w:szCs w:val="20"/>
        </w:rPr>
        <w:t>752-3.2 Backfilling.</w:t>
      </w:r>
    </w:p>
    <w:p w14:paraId="06A661F4"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lastRenderedPageBreak/>
        <w:t>a.</w:t>
      </w:r>
      <w:r w:rsidRPr="000A10ED">
        <w:rPr>
          <w:rFonts w:ascii="Times New Roman" w:eastAsia="Times New Roman" w:hAnsi="Times New Roman" w:cs="Times New Roman"/>
          <w:bCs/>
          <w:szCs w:val="20"/>
        </w:rPr>
        <w:t xml:space="preserve"> After a structure has been completed, backfilling with approved material shall be accomplished by applying the fill in horizontal layers not to exceed 8 inches (200 mm) in loose depth, and compacted. The field density of the compacted material shall be at least 90% of the maximum density for cohesive soils and 95% of the maximum density for noncohesive soils. The maximum density shall be determined in accordance with ASTM D698. The field density shall be determined in accordance with ASTM D1556.</w:t>
      </w:r>
    </w:p>
    <w:p w14:paraId="38088E74"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b.</w:t>
      </w:r>
      <w:r w:rsidRPr="000A10ED">
        <w:rPr>
          <w:rFonts w:ascii="Times New Roman" w:eastAsia="Times New Roman" w:hAnsi="Times New Roman" w:cs="Times New Roman"/>
          <w:bCs/>
          <w:szCs w:val="20"/>
        </w:rPr>
        <w:t xml:space="preserve"> No backfilling shall be placed against any structure until approved by the RPR. For concrete, approval shall not be given until the concrete has been in place seven (7) days, or until tests establish that the concrete has attained sufficient strength to withstand any pressure created by the backfill or the placement methods.</w:t>
      </w:r>
    </w:p>
    <w:p w14:paraId="3B4DD68D"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c.</w:t>
      </w:r>
      <w:r w:rsidRPr="000A10ED">
        <w:rPr>
          <w:rFonts w:ascii="Times New Roman" w:eastAsia="Times New Roman" w:hAnsi="Times New Roman" w:cs="Times New Roman"/>
          <w:bCs/>
          <w:szCs w:val="20"/>
        </w:rPr>
        <w:t xml:space="preserve"> Fill placed around concrete culverts shall be deposited on each side at the same time and to approximately the same elevation. All slopes bounding or within the areas to be backfilled shall be stepped or serrated to prevent wedge action against the structure.</w:t>
      </w:r>
    </w:p>
    <w:p w14:paraId="342CB3F8" w14:textId="77777777" w:rsidR="000A10ED" w:rsidRPr="000A10ED" w:rsidRDefault="000A10ED" w:rsidP="000A10ED">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0A10ED">
        <w:rPr>
          <w:rFonts w:ascii="Times New Roman" w:eastAsia="Times New Roman" w:hAnsi="Times New Roman" w:cs="Times New Roman"/>
          <w:b/>
          <w:bCs/>
          <w:szCs w:val="20"/>
        </w:rPr>
        <w:t>d.</w:t>
      </w:r>
      <w:r w:rsidRPr="000A10ED">
        <w:rPr>
          <w:rFonts w:ascii="Times New Roman" w:eastAsia="Times New Roman" w:hAnsi="Times New Roman" w:cs="Times New Roman"/>
          <w:bCs/>
          <w:szCs w:val="20"/>
        </w:rPr>
        <w:t xml:space="preserve"> Backfill will not be measured for direct payment. Performance of this work shall be considered as a subsidiary obligation of the Contractor, covered under the contract unit price for “unclassified excavation for structures.”</w:t>
      </w:r>
    </w:p>
    <w:p w14:paraId="3200F548"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752-3.3 Weep holes.</w:t>
      </w:r>
      <w:r w:rsidRPr="000A10ED">
        <w:rPr>
          <w:rFonts w:ascii="Times New Roman" w:eastAsia="Times New Roman" w:hAnsi="Times New Roman" w:cs="Times New Roman"/>
          <w:szCs w:val="20"/>
        </w:rPr>
        <w:t xml:space="preserve"> Weep holes shall be constructed as shown on the plans.</w:t>
      </w:r>
    </w:p>
    <w:p w14:paraId="69CE89DE"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752-3.4 Cleaning and restoration of site.</w:t>
      </w:r>
      <w:r w:rsidRPr="000A10ED">
        <w:rPr>
          <w:rFonts w:ascii="Times New Roman" w:eastAsia="Times New Roman" w:hAnsi="Times New Roman" w:cs="Times New Roman"/>
          <w:szCs w:val="20"/>
        </w:rPr>
        <w:t xml:space="preserve"> After the backfill is completed, the Contractor shall dispose of all surplus material, dirt, and rubbish from the site. Surplus dirt may be deposited in embankment, shoulders, or as approved by the RPR. The Contractor shall restore all disturbed areas to their original condition. The Contractor shall remove all tools and equipment, leaving the entire site free, clear, and in good condition.</w:t>
      </w:r>
    </w:p>
    <w:p w14:paraId="338C0B20" w14:textId="77777777" w:rsidR="000A10ED" w:rsidRP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METHOD OF MEASUREMENT</w:t>
      </w:r>
    </w:p>
    <w:p w14:paraId="1E939FAC"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 xml:space="preserve">752-4.1 </w:t>
      </w:r>
      <w:r w:rsidRPr="000A10ED">
        <w:rPr>
          <w:rFonts w:ascii="Times New Roman" w:eastAsia="Times New Roman" w:hAnsi="Times New Roman" w:cs="Times New Roman"/>
          <w:szCs w:val="20"/>
        </w:rPr>
        <w:t>The quantity of unclassified excavation for structures shall be the number of cubic yards (cubic meters), measured in original position, of material excavated in accordance with the plans, or as approved by the RPR; but in no case shall any yardage be included in the measurement for payment which is outside of a volume bounded by vertical planes 18 inches (0.5 m) outside of and parallel to the neat lines of the footings.</w:t>
      </w:r>
    </w:p>
    <w:p w14:paraId="2061432E"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752-4.2</w:t>
      </w:r>
      <w:r w:rsidRPr="000A10ED">
        <w:rPr>
          <w:rFonts w:ascii="Times New Roman" w:eastAsia="Times New Roman" w:hAnsi="Times New Roman" w:cs="Times New Roman"/>
          <w:szCs w:val="20"/>
        </w:rPr>
        <w:t xml:space="preserve"> Concrete shall be measured by the number of cubic yards (cubic meters) of concrete, complete in place and accepted. In computing the yardage of concrete for payment, the dimensions used shall be those shown on the plans or approved by the RPR. No measurements or other allowances shall be made for forms, false work, cofferdams, pumping, bracing, expansion joints, or finishing of the concrete. No deductions in yardage shall be made for the volumes of reinforcing steel or embedded items.</w:t>
      </w:r>
    </w:p>
    <w:p w14:paraId="4E5B104E"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752-4.3</w:t>
      </w:r>
      <w:r w:rsidRPr="000A10ED">
        <w:rPr>
          <w:rFonts w:ascii="Times New Roman" w:eastAsia="Times New Roman" w:hAnsi="Times New Roman" w:cs="Times New Roman"/>
          <w:szCs w:val="20"/>
        </w:rPr>
        <w:t xml:space="preserve"> The quantity of reinforcing steel shall be the calculated theoretical number of pounds (km) placed as shown on the plans, complete in place and accepted. The unit weight used for deformed bars shall be the weight of plain square or round bars, as the case may be, of equal nominal size.</w:t>
      </w:r>
    </w:p>
    <w:p w14:paraId="168D5CF3" w14:textId="77777777" w:rsidR="000A10ED" w:rsidRP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BASIS OF PAYMENT</w:t>
      </w:r>
    </w:p>
    <w:p w14:paraId="48339D3C"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752-5.1</w:t>
      </w:r>
      <w:r w:rsidRPr="000A10ED">
        <w:rPr>
          <w:rFonts w:ascii="Times New Roman" w:eastAsia="Times New Roman" w:hAnsi="Times New Roman" w:cs="Times New Roman"/>
          <w:szCs w:val="20"/>
        </w:rPr>
        <w:t xml:space="preserve"> Payment will be made at the contract unit price per cubic yard (cubic meter) for unclassified excavation for structures. </w:t>
      </w:r>
    </w:p>
    <w:p w14:paraId="7F23E128"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752-5.2</w:t>
      </w:r>
      <w:r w:rsidRPr="000A10ED">
        <w:rPr>
          <w:rFonts w:ascii="Times New Roman" w:eastAsia="Times New Roman" w:hAnsi="Times New Roman" w:cs="Times New Roman"/>
          <w:szCs w:val="20"/>
        </w:rPr>
        <w:t xml:space="preserve"> Payment will be made at the contract unit price per cubic yard (cubic meter) for concrete for the structures.</w:t>
      </w:r>
    </w:p>
    <w:p w14:paraId="1E81BDFC"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b/>
          <w:szCs w:val="20"/>
        </w:rPr>
        <w:t>752-5.3</w:t>
      </w:r>
      <w:r w:rsidRPr="000A10ED">
        <w:rPr>
          <w:rFonts w:ascii="Times New Roman" w:eastAsia="Times New Roman" w:hAnsi="Times New Roman" w:cs="Times New Roman"/>
          <w:szCs w:val="20"/>
        </w:rPr>
        <w:t xml:space="preserve"> Payment will be made at the contract unit price per pound (km) for reinforcing steel.</w:t>
      </w:r>
    </w:p>
    <w:p w14:paraId="72622929" w14:textId="77777777" w:rsidR="000A10ED" w:rsidRPr="000A10ED" w:rsidRDefault="000A10ED" w:rsidP="000A10E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szCs w:val="20"/>
        </w:rPr>
        <w:t>These prices shall be full compensation for furnishing all materials and for all preparation, excavation, and placing the materials, and for all labor, equipment, tools, and incidentals necessary to complete the structure.</w:t>
      </w:r>
    </w:p>
    <w:p w14:paraId="3AD20813" w14:textId="77777777" w:rsidR="000A10ED" w:rsidRPr="000A10ED" w:rsidRDefault="000A10ED" w:rsidP="000A10ED">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szCs w:val="20"/>
        </w:rPr>
        <w:lastRenderedPageBreak/>
        <w:t>Payment will be made under:</w:t>
      </w:r>
    </w:p>
    <w:p w14:paraId="268C963F" w14:textId="77777777" w:rsidR="000A10ED" w:rsidRPr="000A10ED" w:rsidRDefault="000A10ED" w:rsidP="000A10ED">
      <w:pPr>
        <w:suppressAutoHyphens/>
        <w:spacing w:before="120" w:after="120" w:line="240" w:lineRule="auto"/>
        <w:ind w:left="2880" w:hanging="2160"/>
        <w:rPr>
          <w:rFonts w:ascii="Times New Roman" w:eastAsia="Times New Roman" w:hAnsi="Times New Roman" w:cs="Times New Roman"/>
          <w:szCs w:val="20"/>
        </w:rPr>
      </w:pPr>
      <w:r w:rsidRPr="000A10ED">
        <w:rPr>
          <w:rFonts w:ascii="Times New Roman" w:eastAsia="Times New Roman" w:hAnsi="Times New Roman" w:cs="Times New Roman"/>
          <w:szCs w:val="20"/>
        </w:rPr>
        <w:t>Item D-752-5.1</w:t>
      </w:r>
      <w:r w:rsidRPr="000A10ED">
        <w:rPr>
          <w:rFonts w:ascii="Times New Roman" w:eastAsia="Times New Roman" w:hAnsi="Times New Roman" w:cs="Times New Roman"/>
          <w:szCs w:val="20"/>
        </w:rPr>
        <w:tab/>
        <w:t>Unclassified Excavation for Structures - per cubic yard (cubic meter)</w:t>
      </w:r>
    </w:p>
    <w:p w14:paraId="7A6CC474" w14:textId="77777777" w:rsidR="000A10ED" w:rsidRPr="000A10ED" w:rsidRDefault="000A10ED" w:rsidP="000A10ED">
      <w:pPr>
        <w:suppressAutoHyphens/>
        <w:spacing w:before="120" w:after="120" w:line="240" w:lineRule="auto"/>
        <w:ind w:left="2880" w:hanging="2160"/>
        <w:rPr>
          <w:rFonts w:ascii="Times New Roman" w:eastAsia="Times New Roman" w:hAnsi="Times New Roman" w:cs="Times New Roman"/>
          <w:szCs w:val="20"/>
        </w:rPr>
      </w:pPr>
      <w:r w:rsidRPr="000A10ED">
        <w:rPr>
          <w:rFonts w:ascii="Times New Roman" w:eastAsia="Times New Roman" w:hAnsi="Times New Roman" w:cs="Times New Roman"/>
          <w:szCs w:val="20"/>
        </w:rPr>
        <w:t>Item D-752-5.2</w:t>
      </w:r>
      <w:r w:rsidRPr="000A10ED">
        <w:rPr>
          <w:rFonts w:ascii="Times New Roman" w:eastAsia="Times New Roman" w:hAnsi="Times New Roman" w:cs="Times New Roman"/>
          <w:szCs w:val="20"/>
        </w:rPr>
        <w:tab/>
        <w:t>Structural Concrete - per cubic yard (cubic meter)</w:t>
      </w:r>
    </w:p>
    <w:p w14:paraId="39B9809D" w14:textId="77777777" w:rsidR="000A10ED" w:rsidRPr="000A10ED" w:rsidRDefault="000A10ED" w:rsidP="000A10ED">
      <w:pPr>
        <w:suppressAutoHyphens/>
        <w:spacing w:before="120" w:after="120" w:line="240" w:lineRule="auto"/>
        <w:ind w:left="2880" w:hanging="2160"/>
        <w:rPr>
          <w:rFonts w:ascii="Times New Roman" w:eastAsia="Times New Roman" w:hAnsi="Times New Roman" w:cs="Times New Roman"/>
          <w:szCs w:val="20"/>
        </w:rPr>
      </w:pPr>
      <w:r w:rsidRPr="000A10ED">
        <w:rPr>
          <w:rFonts w:ascii="Times New Roman" w:eastAsia="Times New Roman" w:hAnsi="Times New Roman" w:cs="Times New Roman"/>
          <w:szCs w:val="20"/>
        </w:rPr>
        <w:t>Item D-752-5.3</w:t>
      </w:r>
      <w:r w:rsidRPr="000A10ED">
        <w:rPr>
          <w:rFonts w:ascii="Times New Roman" w:eastAsia="Times New Roman" w:hAnsi="Times New Roman" w:cs="Times New Roman"/>
          <w:szCs w:val="20"/>
        </w:rPr>
        <w:tab/>
        <w:t>Reinforcing Steel - per pound (km)</w:t>
      </w:r>
    </w:p>
    <w:p w14:paraId="1C87E539" w14:textId="77777777" w:rsidR="000A10ED" w:rsidRPr="000A10ED" w:rsidRDefault="000A10ED" w:rsidP="000A10ED">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References</w:t>
      </w:r>
    </w:p>
    <w:p w14:paraId="24717B8C" w14:textId="77777777" w:rsidR="000A10ED" w:rsidRPr="000A10ED" w:rsidRDefault="000A10ED" w:rsidP="000A10ED">
      <w:pPr>
        <w:tabs>
          <w:tab w:val="left" w:pos="720"/>
          <w:tab w:val="left" w:pos="1440"/>
          <w:tab w:val="left" w:pos="2160"/>
        </w:tab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szCs w:val="20"/>
        </w:rPr>
        <w:t>The publications listed below form a part of this specification to the extent referenced. The publications are referred to within the text by the basic designation only.</w:t>
      </w:r>
    </w:p>
    <w:p w14:paraId="309D7A69" w14:textId="77777777" w:rsidR="000A10ED" w:rsidRPr="000A10ED" w:rsidRDefault="000A10ED" w:rsidP="000A10ED">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0A10ED">
        <w:rPr>
          <w:rFonts w:ascii="Times New Roman" w:eastAsia="Times New Roman" w:hAnsi="Times New Roman" w:cs="Times New Roman"/>
          <w:szCs w:val="20"/>
        </w:rPr>
        <w:t>ASTM International (ASTM)</w:t>
      </w:r>
    </w:p>
    <w:p w14:paraId="246DCBBD" w14:textId="77777777" w:rsidR="000A10ED" w:rsidRPr="000A10ED" w:rsidRDefault="000A10ED" w:rsidP="000A10ED">
      <w:pPr>
        <w:suppressAutoHyphens/>
        <w:spacing w:before="120" w:after="120" w:line="240" w:lineRule="auto"/>
        <w:ind w:left="2880" w:hanging="2160"/>
        <w:rPr>
          <w:rFonts w:ascii="Times New Roman" w:eastAsia="Times New Roman" w:hAnsi="Times New Roman" w:cs="Times New Roman"/>
          <w:szCs w:val="20"/>
        </w:rPr>
      </w:pPr>
      <w:r w:rsidRPr="000A10ED">
        <w:rPr>
          <w:rFonts w:ascii="Times New Roman" w:eastAsia="Times New Roman" w:hAnsi="Times New Roman" w:cs="Times New Roman"/>
          <w:szCs w:val="20"/>
        </w:rPr>
        <w:t>ASTM D698</w:t>
      </w:r>
      <w:r w:rsidRPr="000A10ED">
        <w:rPr>
          <w:rFonts w:ascii="Times New Roman" w:eastAsia="Times New Roman" w:hAnsi="Times New Roman" w:cs="Times New Roman"/>
          <w:szCs w:val="20"/>
        </w:rPr>
        <w:tab/>
        <w:t>Standard Test Methods for Laboratory Compaction Characteristics of Soil Using Standard Effort (12,400 ft-lb/ft</w:t>
      </w:r>
      <w:r w:rsidRPr="000A10ED">
        <w:rPr>
          <w:rFonts w:ascii="Times New Roman" w:eastAsia="Times New Roman" w:hAnsi="Times New Roman" w:cs="Times New Roman"/>
          <w:szCs w:val="20"/>
          <w:vertAlign w:val="superscript"/>
        </w:rPr>
        <w:t>3</w:t>
      </w:r>
      <w:r w:rsidRPr="000A10ED">
        <w:rPr>
          <w:rFonts w:ascii="Times New Roman" w:eastAsia="Times New Roman" w:hAnsi="Times New Roman" w:cs="Times New Roman"/>
          <w:szCs w:val="20"/>
        </w:rPr>
        <w:t> (600 kN-m/m</w:t>
      </w:r>
      <w:r w:rsidRPr="000A10ED">
        <w:rPr>
          <w:rFonts w:ascii="Times New Roman" w:eastAsia="Times New Roman" w:hAnsi="Times New Roman" w:cs="Times New Roman"/>
          <w:szCs w:val="20"/>
          <w:vertAlign w:val="superscript"/>
        </w:rPr>
        <w:t>3</w:t>
      </w:r>
      <w:r w:rsidRPr="000A10ED">
        <w:rPr>
          <w:rFonts w:ascii="Times New Roman" w:eastAsia="Times New Roman" w:hAnsi="Times New Roman" w:cs="Times New Roman"/>
          <w:szCs w:val="20"/>
        </w:rPr>
        <w:t>))</w:t>
      </w:r>
    </w:p>
    <w:p w14:paraId="232DD0FA" w14:textId="77777777" w:rsidR="000A10ED" w:rsidRPr="000A10ED" w:rsidRDefault="000A10ED" w:rsidP="000A10ED">
      <w:pPr>
        <w:suppressAutoHyphens/>
        <w:spacing w:before="120" w:after="120" w:line="240" w:lineRule="auto"/>
        <w:ind w:left="2880" w:hanging="2160"/>
        <w:rPr>
          <w:rFonts w:ascii="Times New Roman" w:eastAsia="Times New Roman" w:hAnsi="Times New Roman" w:cs="Times New Roman"/>
          <w:sz w:val="16"/>
          <w:szCs w:val="16"/>
        </w:rPr>
      </w:pPr>
      <w:r w:rsidRPr="000A10ED">
        <w:rPr>
          <w:rFonts w:ascii="Times New Roman" w:eastAsia="Times New Roman" w:hAnsi="Times New Roman" w:cs="Times New Roman"/>
          <w:szCs w:val="20"/>
        </w:rPr>
        <w:t>ASTM D1556</w:t>
      </w:r>
      <w:r w:rsidRPr="000A10ED">
        <w:rPr>
          <w:rFonts w:ascii="Times New Roman" w:eastAsia="Times New Roman" w:hAnsi="Times New Roman" w:cs="Times New Roman"/>
          <w:szCs w:val="20"/>
        </w:rPr>
        <w:tab/>
        <w:t>Standard Test Method for Density and Unit Weight of Soil in Place by the Sand-Cone Method</w:t>
      </w:r>
    </w:p>
    <w:p w14:paraId="2FB6CCF4" w14:textId="77777777" w:rsidR="000A10ED" w:rsidRPr="000A10ED" w:rsidRDefault="000A10ED" w:rsidP="000A10ED">
      <w:pPr>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0A10ED">
        <w:rPr>
          <w:rFonts w:ascii="Times New Roman" w:eastAsia="Times New Roman" w:hAnsi="Times New Roman" w:cs="Times New Roman"/>
          <w:b/>
          <w:caps/>
          <w:szCs w:val="20"/>
        </w:rPr>
        <w:t>END OF ITEM D-752</w:t>
      </w:r>
    </w:p>
    <w:p w14:paraId="26600412" w14:textId="77777777" w:rsidR="006158B3" w:rsidRPr="006158B3" w:rsidRDefault="006158B3" w:rsidP="006158B3">
      <w:pPr>
        <w:suppressLineNumbers/>
        <w:tabs>
          <w:tab w:val="left" w:pos="720"/>
          <w:tab w:val="left" w:pos="1440"/>
          <w:tab w:val="left" w:pos="2160"/>
        </w:tabs>
        <w:spacing w:before="120" w:after="120" w:line="240" w:lineRule="auto"/>
        <w:rPr>
          <w:rFonts w:ascii="Times New Roman" w:eastAsia="Times New Roman" w:hAnsi="Times New Roman" w:cs="Times New Roman"/>
          <w:szCs w:val="20"/>
        </w:rPr>
      </w:pPr>
    </w:p>
    <w:p w14:paraId="3DE1A444" w14:textId="77777777" w:rsidR="00D604F6" w:rsidRPr="005D4BA2" w:rsidRDefault="00D604F6" w:rsidP="006158B3">
      <w:pPr>
        <w:pStyle w:val="Heading2"/>
        <w:ind w:left="0"/>
        <w:jc w:val="center"/>
      </w:pPr>
    </w:p>
    <w:sectPr w:rsidR="00D604F6" w:rsidRPr="005D4BA2" w:rsidSect="006A5C17">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B6A17" w14:textId="77777777" w:rsidR="002F3B9A" w:rsidRDefault="002F3B9A">
      <w:r>
        <w:separator/>
      </w:r>
    </w:p>
    <w:p w14:paraId="236A53FC" w14:textId="77777777" w:rsidR="00006F8F" w:rsidRDefault="00006F8F"/>
  </w:endnote>
  <w:endnote w:type="continuationSeparator" w:id="0">
    <w:p w14:paraId="662678A9" w14:textId="77777777" w:rsidR="002F3B9A" w:rsidRDefault="002F3B9A">
      <w:r>
        <w:continuationSeparator/>
      </w:r>
    </w:p>
    <w:p w14:paraId="3F9E40A7" w14:textId="77777777" w:rsidR="00006F8F" w:rsidRDefault="00006F8F"/>
  </w:endnote>
  <w:endnote w:type="continuationNotice" w:id="1">
    <w:p w14:paraId="469C32E4" w14:textId="77777777" w:rsidR="002F3B9A" w:rsidRDefault="002F3B9A"/>
    <w:p w14:paraId="4088BB26" w14:textId="77777777" w:rsidR="00006F8F" w:rsidRDefault="00006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Dutch801 XBd BT"/>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6D732" w14:textId="1CB8EA13" w:rsidR="00386973" w:rsidRDefault="00F8417A" w:rsidP="004E0A19">
    <w:pPr>
      <w:pStyle w:val="Footer"/>
    </w:pPr>
    <w:r>
      <w:t>MC-XXXXXXX</w:t>
    </w:r>
    <w:r w:rsidR="005B39E3">
      <w:t xml:space="preserve"> </w:t>
    </w:r>
    <w:r w:rsidR="00386973" w:rsidRPr="00F559EE">
      <w:rPr>
        <w:rFonts w:cs="Arial"/>
        <w:szCs w:val="18"/>
      </w:rPr>
      <w:t>/</w:t>
    </w:r>
    <w:r w:rsidR="005B39E3">
      <w:rPr>
        <w:rFonts w:cs="Arial"/>
        <w:szCs w:val="18"/>
      </w:rPr>
      <w:t xml:space="preserve"> </w:t>
    </w:r>
    <w:r w:rsidR="00386973" w:rsidRPr="00F559EE">
      <w:rPr>
        <w:rFonts w:cs="Arial"/>
        <w:szCs w:val="18"/>
      </w:rPr>
      <w:t>WP#</w:t>
    </w:r>
    <w:r w:rsidR="004F18F8">
      <w:rPr>
        <w:rFonts w:cs="Arial"/>
        <w:szCs w:val="18"/>
      </w:rPr>
      <w:t>XXXXXX</w:t>
    </w:r>
    <w:r w:rsidR="00386973" w:rsidRPr="003E1DB8">
      <w:tab/>
    </w:r>
    <w:r w:rsidR="00386973" w:rsidRPr="003E1DB8">
      <w:tab/>
    </w:r>
    <w:r w:rsidR="00386973">
      <w:t>3</w:t>
    </w:r>
    <w:r w:rsidR="0058695F">
      <w:t>3</w:t>
    </w:r>
    <w:r w:rsidR="006C3225">
      <w:t xml:space="preserve"> </w:t>
    </w:r>
    <w:r w:rsidR="0058695F">
      <w:t>4</w:t>
    </w:r>
    <w:r w:rsidR="000A10ED">
      <w:t>2</w:t>
    </w:r>
    <w:r w:rsidR="006C3225">
      <w:t xml:space="preserve"> </w:t>
    </w:r>
    <w:r w:rsidR="0058695F">
      <w:t>13</w:t>
    </w:r>
    <w:r w:rsidR="00386973" w:rsidRPr="003E1DB8">
      <w:t>-</w:t>
    </w:r>
    <w:r w:rsidR="00386973" w:rsidRPr="003E1DB8">
      <w:fldChar w:fldCharType="begin"/>
    </w:r>
    <w:r w:rsidR="00386973" w:rsidRPr="003E1DB8">
      <w:instrText xml:space="preserve"> PAGE </w:instrText>
    </w:r>
    <w:r w:rsidR="00386973" w:rsidRPr="003E1DB8">
      <w:fldChar w:fldCharType="separate"/>
    </w:r>
    <w:r w:rsidR="004F18F8">
      <w:rPr>
        <w:noProof/>
      </w:rPr>
      <w:t>1</w:t>
    </w:r>
    <w:r w:rsidR="00386973" w:rsidRPr="003E1DB8">
      <w:fldChar w:fldCharType="end"/>
    </w:r>
  </w:p>
  <w:p w14:paraId="4FFA40A7" w14:textId="43764CA3" w:rsidR="00386973" w:rsidRDefault="00386973">
    <w:pPr>
      <w:pStyle w:val="Footer"/>
    </w:pPr>
    <w:r w:rsidRPr="00173C98">
      <w:t>Rev.</w:t>
    </w:r>
    <w:r>
      <w:t xml:space="preserve"> </w:t>
    </w:r>
    <w:r w:rsidR="00F8417A">
      <w:t>0</w:t>
    </w:r>
    <w:r w:rsidR="00DE6187">
      <w:t>2</w:t>
    </w:r>
    <w:r>
      <w:t>/</w:t>
    </w:r>
    <w:r w:rsidR="005B39E3">
      <w:t>21</w:t>
    </w:r>
    <w:r w:rsidR="00F8417A">
      <w:t>/</w:t>
    </w:r>
    <w:r w:rsidR="00DE6187">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9198F" w14:textId="77777777" w:rsidR="002F3B9A" w:rsidRDefault="002F3B9A">
      <w:r>
        <w:separator/>
      </w:r>
    </w:p>
    <w:p w14:paraId="6B210E7C" w14:textId="77777777" w:rsidR="00006F8F" w:rsidRDefault="00006F8F"/>
  </w:footnote>
  <w:footnote w:type="continuationSeparator" w:id="0">
    <w:p w14:paraId="6E035673" w14:textId="77777777" w:rsidR="002F3B9A" w:rsidRDefault="002F3B9A">
      <w:r>
        <w:continuationSeparator/>
      </w:r>
    </w:p>
    <w:p w14:paraId="3CA8567B" w14:textId="77777777" w:rsidR="00006F8F" w:rsidRDefault="00006F8F"/>
  </w:footnote>
  <w:footnote w:type="continuationNotice" w:id="1">
    <w:p w14:paraId="73A1DD34" w14:textId="77777777" w:rsidR="002F3B9A" w:rsidRDefault="002F3B9A"/>
    <w:p w14:paraId="31A2ABC8" w14:textId="77777777" w:rsidR="00006F8F" w:rsidRDefault="00006F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8AEA" w14:textId="77777777" w:rsidR="00386973" w:rsidRDefault="00386973">
    <w:pPr>
      <w:pStyle w:val="Header"/>
    </w:pPr>
    <w:r>
      <w:t xml:space="preserve">DIVISION </w:t>
    </w:r>
    <w:r w:rsidR="0058695F">
      <w:t>33</w:t>
    </w:r>
    <w:r>
      <w:t xml:space="preserve"> - </w:t>
    </w:r>
    <w:r w:rsidR="0058695F">
      <w:t>UTILITIES</w:t>
    </w:r>
  </w:p>
  <w:p w14:paraId="6348EE0D" w14:textId="2DD114B3" w:rsidR="00386973" w:rsidRDefault="00386973">
    <w:pPr>
      <w:pStyle w:val="Header"/>
    </w:pPr>
    <w:r>
      <w:t xml:space="preserve">Section </w:t>
    </w:r>
    <w:r w:rsidR="0058695F">
      <w:t>33</w:t>
    </w:r>
    <w:r w:rsidR="006C3225">
      <w:t xml:space="preserve"> </w:t>
    </w:r>
    <w:r w:rsidR="000A10ED">
      <w:t>42</w:t>
    </w:r>
    <w:r w:rsidR="006C3225">
      <w:t xml:space="preserve"> </w:t>
    </w:r>
    <w:r w:rsidR="0058695F">
      <w:t>13</w:t>
    </w:r>
    <w:r>
      <w:t xml:space="preserve"> </w:t>
    </w:r>
    <w:r w:rsidR="000A10ED">
      <w:t>–</w:t>
    </w:r>
    <w:r>
      <w:t xml:space="preserve"> </w:t>
    </w:r>
    <w:r w:rsidR="000A10ED">
      <w:t>Concrete Culverts, Headwalls, and Miscellaneous Drainage Structures</w:t>
    </w:r>
    <w:r>
      <w:t xml:space="preserve"> (FAA)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90FDD"/>
    <w:multiLevelType w:val="multilevel"/>
    <w:tmpl w:val="8814DA84"/>
    <w:lvl w:ilvl="0">
      <w:start w:val="1"/>
      <w:numFmt w:val="decimal"/>
      <w:suff w:val="nothing"/>
      <w:lvlText w:val="PART %1  "/>
      <w:lvlJc w:val="left"/>
      <w:pPr>
        <w:ind w:left="720" w:firstLine="0"/>
      </w:pPr>
      <w:rPr>
        <w:u w:val="single"/>
      </w:rPr>
    </w:lvl>
    <w:lvl w:ilvl="1">
      <w:start w:val="1"/>
      <w:numFmt w:val="decimalZero"/>
      <w:isLgl/>
      <w:lvlText w:val="%1.%2"/>
      <w:lvlJc w:val="left"/>
      <w:pPr>
        <w:tabs>
          <w:tab w:val="num" w:pos="1440"/>
        </w:tabs>
        <w:ind w:left="1440" w:hanging="720"/>
      </w:pPr>
    </w:lvl>
    <w:lvl w:ilvl="2">
      <w:start w:val="1"/>
      <w:numFmt w:val="upperLetter"/>
      <w:lvlText w:val="%3."/>
      <w:lvlJc w:val="left"/>
      <w:pPr>
        <w:tabs>
          <w:tab w:val="num" w:pos="2160"/>
        </w:tabs>
        <w:ind w:left="2160" w:hanging="720"/>
      </w:pPr>
    </w:lvl>
    <w:lvl w:ilvl="3">
      <w:start w:val="1"/>
      <w:numFmt w:val="upp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lowerLetter"/>
      <w:lvlText w:val="(%7)"/>
      <w:lvlJc w:val="left"/>
      <w:pPr>
        <w:tabs>
          <w:tab w:val="num" w:pos="5040"/>
        </w:tabs>
        <w:ind w:left="5040" w:hanging="720"/>
      </w:pPr>
    </w:lvl>
    <w:lvl w:ilvl="7">
      <w:start w:val="1"/>
      <w:numFmt w:val="lowerRoman"/>
      <w:lvlText w:val="(%8)"/>
      <w:lvlJc w:val="left"/>
      <w:pPr>
        <w:tabs>
          <w:tab w:val="num" w:pos="5760"/>
        </w:tabs>
        <w:ind w:left="5760" w:hanging="720"/>
      </w:pPr>
    </w:lvl>
    <w:lvl w:ilvl="8">
      <w:start w:val="1"/>
      <w:numFmt w:val="upperLetter"/>
      <w:lvlText w:val="(%9)"/>
      <w:lvlJc w:val="right"/>
      <w:pPr>
        <w:tabs>
          <w:tab w:val="num" w:pos="6480"/>
        </w:tabs>
        <w:ind w:left="6480" w:hanging="720"/>
      </w:pPr>
    </w:lvl>
  </w:abstractNum>
  <w:abstractNum w:abstractNumId="1" w15:restartNumberingAfterBreak="0">
    <w:nsid w:val="0EF91F16"/>
    <w:multiLevelType w:val="multilevel"/>
    <w:tmpl w:val="0B6C6F46"/>
    <w:lvl w:ilvl="0">
      <w:start w:val="75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4DE377D"/>
    <w:multiLevelType w:val="hybridMultilevel"/>
    <w:tmpl w:val="6290A15A"/>
    <w:lvl w:ilvl="0" w:tplc="17D2282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6E30100"/>
    <w:multiLevelType w:val="hybridMultilevel"/>
    <w:tmpl w:val="1F4C1924"/>
    <w:lvl w:ilvl="0" w:tplc="38708A6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D714E24"/>
    <w:multiLevelType w:val="hybridMultilevel"/>
    <w:tmpl w:val="32D4808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E3B73C0"/>
    <w:multiLevelType w:val="hybridMultilevel"/>
    <w:tmpl w:val="18E44DA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4EDE6B61"/>
    <w:multiLevelType w:val="hybridMultilevel"/>
    <w:tmpl w:val="7E32A406"/>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5AEF41D4"/>
    <w:multiLevelType w:val="hybridMultilevel"/>
    <w:tmpl w:val="5C5A7C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9F7F96"/>
    <w:multiLevelType w:val="multilevel"/>
    <w:tmpl w:val="ED8EF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346DC1"/>
    <w:multiLevelType w:val="multilevel"/>
    <w:tmpl w:val="A386F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392264"/>
    <w:multiLevelType w:val="hybridMultilevel"/>
    <w:tmpl w:val="2202F050"/>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93C7DC0"/>
    <w:multiLevelType w:val="hybridMultilevel"/>
    <w:tmpl w:val="0722DFB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6D60493B"/>
    <w:multiLevelType w:val="hybridMultilevel"/>
    <w:tmpl w:val="24A636E2"/>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5"/>
  </w:num>
  <w:num w:numId="2">
    <w:abstractNumId w:val="7"/>
  </w:num>
  <w:num w:numId="3">
    <w:abstractNumId w:val="11"/>
  </w:num>
  <w:num w:numId="4">
    <w:abstractNumId w:val="13"/>
  </w:num>
  <w:num w:numId="5">
    <w:abstractNumId w:val="6"/>
  </w:num>
  <w:num w:numId="6">
    <w:abstractNumId w:val="3"/>
  </w:num>
  <w:num w:numId="7">
    <w:abstractNumId w:val="8"/>
  </w:num>
  <w:num w:numId="8">
    <w:abstractNumId w:val="1"/>
  </w:num>
  <w:num w:numId="9">
    <w:abstractNumId w:val="10"/>
  </w:num>
  <w:num w:numId="10">
    <w:abstractNumId w:val="9"/>
  </w:num>
  <w:num w:numId="11">
    <w:abstractNumId w:val="12"/>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6F8F"/>
    <w:rsid w:val="000436FB"/>
    <w:rsid w:val="00057C24"/>
    <w:rsid w:val="00063393"/>
    <w:rsid w:val="0006352D"/>
    <w:rsid w:val="000645D8"/>
    <w:rsid w:val="0009189C"/>
    <w:rsid w:val="000A10ED"/>
    <w:rsid w:val="000E4D96"/>
    <w:rsid w:val="00136AC9"/>
    <w:rsid w:val="00154660"/>
    <w:rsid w:val="00172D24"/>
    <w:rsid w:val="001809DD"/>
    <w:rsid w:val="00183B5B"/>
    <w:rsid w:val="00190C34"/>
    <w:rsid w:val="001A1831"/>
    <w:rsid w:val="001A4F30"/>
    <w:rsid w:val="001B4C52"/>
    <w:rsid w:val="001C54F2"/>
    <w:rsid w:val="001C630E"/>
    <w:rsid w:val="001E4960"/>
    <w:rsid w:val="00201F20"/>
    <w:rsid w:val="00210E6E"/>
    <w:rsid w:val="002143CA"/>
    <w:rsid w:val="002157F5"/>
    <w:rsid w:val="00216FA4"/>
    <w:rsid w:val="00220DB4"/>
    <w:rsid w:val="002314C2"/>
    <w:rsid w:val="00242B65"/>
    <w:rsid w:val="00260302"/>
    <w:rsid w:val="002703C5"/>
    <w:rsid w:val="00274EA5"/>
    <w:rsid w:val="00285C2B"/>
    <w:rsid w:val="002865A2"/>
    <w:rsid w:val="002A0A79"/>
    <w:rsid w:val="002A15C6"/>
    <w:rsid w:val="002B1F50"/>
    <w:rsid w:val="002D6FFE"/>
    <w:rsid w:val="002F3B9A"/>
    <w:rsid w:val="002F57AC"/>
    <w:rsid w:val="00307291"/>
    <w:rsid w:val="003076BC"/>
    <w:rsid w:val="00310920"/>
    <w:rsid w:val="00352017"/>
    <w:rsid w:val="003543B2"/>
    <w:rsid w:val="003573CE"/>
    <w:rsid w:val="00373D9F"/>
    <w:rsid w:val="00377205"/>
    <w:rsid w:val="00386973"/>
    <w:rsid w:val="003E0626"/>
    <w:rsid w:val="00407C1C"/>
    <w:rsid w:val="00432CB9"/>
    <w:rsid w:val="00435631"/>
    <w:rsid w:val="00473113"/>
    <w:rsid w:val="004A56E9"/>
    <w:rsid w:val="004D2AEE"/>
    <w:rsid w:val="004D48D7"/>
    <w:rsid w:val="004D4BA7"/>
    <w:rsid w:val="004D5B4B"/>
    <w:rsid w:val="004D6EB9"/>
    <w:rsid w:val="004E0A19"/>
    <w:rsid w:val="004F18F8"/>
    <w:rsid w:val="004F1CEE"/>
    <w:rsid w:val="004F703E"/>
    <w:rsid w:val="00512508"/>
    <w:rsid w:val="00547710"/>
    <w:rsid w:val="00556E30"/>
    <w:rsid w:val="0058695F"/>
    <w:rsid w:val="005A2440"/>
    <w:rsid w:val="005A38C3"/>
    <w:rsid w:val="005A4588"/>
    <w:rsid w:val="005B39E3"/>
    <w:rsid w:val="005D4BA2"/>
    <w:rsid w:val="006158B3"/>
    <w:rsid w:val="00617DA3"/>
    <w:rsid w:val="006205FA"/>
    <w:rsid w:val="00620DA4"/>
    <w:rsid w:val="0063770D"/>
    <w:rsid w:val="006653F9"/>
    <w:rsid w:val="006A5C17"/>
    <w:rsid w:val="006C3225"/>
    <w:rsid w:val="006C5546"/>
    <w:rsid w:val="00721DF4"/>
    <w:rsid w:val="0077535D"/>
    <w:rsid w:val="007A2788"/>
    <w:rsid w:val="007C1E6C"/>
    <w:rsid w:val="007D0C2C"/>
    <w:rsid w:val="007D716C"/>
    <w:rsid w:val="007F52DA"/>
    <w:rsid w:val="0080062C"/>
    <w:rsid w:val="008075BF"/>
    <w:rsid w:val="00840D5C"/>
    <w:rsid w:val="00851985"/>
    <w:rsid w:val="00863E64"/>
    <w:rsid w:val="0089350D"/>
    <w:rsid w:val="008C025A"/>
    <w:rsid w:val="008F15CF"/>
    <w:rsid w:val="00915768"/>
    <w:rsid w:val="009902AE"/>
    <w:rsid w:val="00995BD3"/>
    <w:rsid w:val="009A0CC9"/>
    <w:rsid w:val="009A4657"/>
    <w:rsid w:val="009A523E"/>
    <w:rsid w:val="009C43E9"/>
    <w:rsid w:val="009D6266"/>
    <w:rsid w:val="009E3DAB"/>
    <w:rsid w:val="009F67AD"/>
    <w:rsid w:val="00A222ED"/>
    <w:rsid w:val="00A268D9"/>
    <w:rsid w:val="00A46216"/>
    <w:rsid w:val="00A6484F"/>
    <w:rsid w:val="00A64B75"/>
    <w:rsid w:val="00A66F47"/>
    <w:rsid w:val="00A90DB4"/>
    <w:rsid w:val="00AE57BA"/>
    <w:rsid w:val="00B038DA"/>
    <w:rsid w:val="00B16E96"/>
    <w:rsid w:val="00B2397B"/>
    <w:rsid w:val="00B35AD5"/>
    <w:rsid w:val="00B531AA"/>
    <w:rsid w:val="00B65512"/>
    <w:rsid w:val="00B661E5"/>
    <w:rsid w:val="00B66370"/>
    <w:rsid w:val="00B75041"/>
    <w:rsid w:val="00B81F13"/>
    <w:rsid w:val="00B85EEA"/>
    <w:rsid w:val="00B93F6D"/>
    <w:rsid w:val="00BC0893"/>
    <w:rsid w:val="00BC1487"/>
    <w:rsid w:val="00BC29DF"/>
    <w:rsid w:val="00BD0352"/>
    <w:rsid w:val="00BF3D8B"/>
    <w:rsid w:val="00BF5D76"/>
    <w:rsid w:val="00C00464"/>
    <w:rsid w:val="00C04191"/>
    <w:rsid w:val="00C157B1"/>
    <w:rsid w:val="00C376B5"/>
    <w:rsid w:val="00C42FA8"/>
    <w:rsid w:val="00C46EE3"/>
    <w:rsid w:val="00C6479B"/>
    <w:rsid w:val="00C65727"/>
    <w:rsid w:val="00C85ED1"/>
    <w:rsid w:val="00C90F29"/>
    <w:rsid w:val="00CB2886"/>
    <w:rsid w:val="00CD37CB"/>
    <w:rsid w:val="00CE3877"/>
    <w:rsid w:val="00CE5A39"/>
    <w:rsid w:val="00D13995"/>
    <w:rsid w:val="00D200E3"/>
    <w:rsid w:val="00D26012"/>
    <w:rsid w:val="00D53AD0"/>
    <w:rsid w:val="00D604F6"/>
    <w:rsid w:val="00D645B3"/>
    <w:rsid w:val="00D95302"/>
    <w:rsid w:val="00DB0819"/>
    <w:rsid w:val="00DB22D2"/>
    <w:rsid w:val="00DC1EB7"/>
    <w:rsid w:val="00DC5F5A"/>
    <w:rsid w:val="00DE6187"/>
    <w:rsid w:val="00DF3AD1"/>
    <w:rsid w:val="00DF5B27"/>
    <w:rsid w:val="00DF6F25"/>
    <w:rsid w:val="00E04766"/>
    <w:rsid w:val="00E05ED4"/>
    <w:rsid w:val="00E14991"/>
    <w:rsid w:val="00E332F1"/>
    <w:rsid w:val="00E42BF5"/>
    <w:rsid w:val="00E50BA3"/>
    <w:rsid w:val="00E51870"/>
    <w:rsid w:val="00E70ED7"/>
    <w:rsid w:val="00E91C03"/>
    <w:rsid w:val="00EA0427"/>
    <w:rsid w:val="00EA2518"/>
    <w:rsid w:val="00EA2AE2"/>
    <w:rsid w:val="00EA34E5"/>
    <w:rsid w:val="00EA405A"/>
    <w:rsid w:val="00EA4FC8"/>
    <w:rsid w:val="00EC4EA3"/>
    <w:rsid w:val="00ED41FA"/>
    <w:rsid w:val="00ED710E"/>
    <w:rsid w:val="00EE2D9D"/>
    <w:rsid w:val="00EE445F"/>
    <w:rsid w:val="00F361FE"/>
    <w:rsid w:val="00F43259"/>
    <w:rsid w:val="00F4344E"/>
    <w:rsid w:val="00F44694"/>
    <w:rsid w:val="00F6175A"/>
    <w:rsid w:val="00F74F9C"/>
    <w:rsid w:val="00F7586B"/>
    <w:rsid w:val="00F8417A"/>
    <w:rsid w:val="00F90ABC"/>
    <w:rsid w:val="00FA4FE8"/>
    <w:rsid w:val="00FB06F8"/>
    <w:rsid w:val="00FC6BE3"/>
    <w:rsid w:val="00FD22F4"/>
    <w:rsid w:val="00FF147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ED239B3"/>
  <w15:docId w15:val="{C1B06307-5B1F-4136-B990-92FF0645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61F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6572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D4BA2"/>
    <w:pPr>
      <w:keepNext/>
      <w:spacing w:before="360" w:after="60"/>
      <w:ind w:left="720"/>
      <w:outlineLvl w:val="1"/>
    </w:pPr>
    <w:rPr>
      <w:rFonts w:cs="Arial"/>
      <w:b/>
      <w:bCs/>
      <w:iCs/>
      <w:caps/>
      <w:spacing w:val="24"/>
      <w:sz w:val="22"/>
      <w:szCs w:val="22"/>
    </w:rPr>
  </w:style>
  <w:style w:type="paragraph" w:styleId="Heading3">
    <w:name w:val="heading 3"/>
    <w:next w:val="Normal"/>
    <w:link w:val="Heading3Char"/>
    <w:qFormat/>
    <w:rsid w:val="00C6572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F361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61FE"/>
  </w:style>
  <w:style w:type="paragraph" w:styleId="Header">
    <w:name w:val="header"/>
    <w:basedOn w:val="BodyText"/>
    <w:semiHidden/>
    <w:rsid w:val="00C65727"/>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C65727"/>
    <w:pPr>
      <w:spacing w:after="120"/>
      <w:ind w:left="720"/>
    </w:pPr>
    <w:rPr>
      <w:rFonts w:ascii="Arial" w:hAnsi="Arial"/>
      <w:sz w:val="22"/>
      <w:szCs w:val="24"/>
    </w:rPr>
  </w:style>
  <w:style w:type="paragraph" w:styleId="Footer">
    <w:name w:val="footer"/>
    <w:basedOn w:val="Header"/>
    <w:semiHidden/>
    <w:rsid w:val="00C6572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6572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C6572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C65727"/>
    <w:pPr>
      <w:numPr>
        <w:numId w:val="1"/>
      </w:numPr>
    </w:pPr>
  </w:style>
  <w:style w:type="table" w:styleId="TableGrid">
    <w:name w:val="Table Grid"/>
    <w:basedOn w:val="TableNormal"/>
    <w:rsid w:val="00C6572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6572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2">
    <w:name w:val="Body Text 2"/>
    <w:basedOn w:val="Normal"/>
    <w:link w:val="BodyText2Char"/>
    <w:rsid w:val="001C630E"/>
    <w:pPr>
      <w:spacing w:after="120" w:line="480" w:lineRule="auto"/>
    </w:pPr>
    <w:rPr>
      <w:lang w:val="x-none" w:eastAsia="x-none"/>
    </w:rPr>
  </w:style>
  <w:style w:type="character" w:customStyle="1" w:styleId="BodyText2Char">
    <w:name w:val="Body Text 2 Char"/>
    <w:link w:val="BodyText2"/>
    <w:rsid w:val="001C630E"/>
    <w:rPr>
      <w:rFonts w:ascii="Arial" w:hAnsi="Arial"/>
      <w:sz w:val="22"/>
    </w:rPr>
  </w:style>
  <w:style w:type="paragraph" w:styleId="TOC2">
    <w:name w:val="toc 2"/>
    <w:basedOn w:val="Normal"/>
    <w:next w:val="Normal"/>
    <w:autoRedefine/>
    <w:rsid w:val="00B35AD5"/>
    <w:pPr>
      <w:ind w:left="220"/>
    </w:pPr>
  </w:style>
  <w:style w:type="character" w:customStyle="1" w:styleId="BodyTextChar">
    <w:name w:val="Body Text Char"/>
    <w:link w:val="BodyText"/>
    <w:semiHidden/>
    <w:rsid w:val="004D5B4B"/>
    <w:rPr>
      <w:rFonts w:ascii="Arial" w:hAnsi="Arial"/>
      <w:sz w:val="22"/>
      <w:szCs w:val="24"/>
      <w:lang w:bidi="ar-SA"/>
    </w:rPr>
  </w:style>
  <w:style w:type="paragraph" w:styleId="BalloonText">
    <w:name w:val="Balloon Text"/>
    <w:basedOn w:val="Normal"/>
    <w:link w:val="BalloonTextChar"/>
    <w:rsid w:val="00D200E3"/>
    <w:rPr>
      <w:rFonts w:ascii="Tahoma" w:hAnsi="Tahoma"/>
      <w:sz w:val="16"/>
      <w:szCs w:val="16"/>
      <w:lang w:val="x-none" w:eastAsia="x-none"/>
    </w:rPr>
  </w:style>
  <w:style w:type="character" w:customStyle="1" w:styleId="BalloonTextChar">
    <w:name w:val="Balloon Text Char"/>
    <w:link w:val="BalloonText"/>
    <w:rsid w:val="00D200E3"/>
    <w:rPr>
      <w:rFonts w:ascii="Tahoma" w:hAnsi="Tahoma" w:cs="Tahoma"/>
      <w:sz w:val="16"/>
      <w:szCs w:val="16"/>
    </w:rPr>
  </w:style>
  <w:style w:type="character" w:customStyle="1" w:styleId="Heading3Char">
    <w:name w:val="Heading 3 Char"/>
    <w:link w:val="Heading3"/>
    <w:rsid w:val="00DB22D2"/>
    <w:rPr>
      <w:rFonts w:ascii="Arial" w:hAnsi="Arial"/>
      <w:b/>
      <w:snapToGrid w:val="0"/>
      <w:sz w:val="22"/>
      <w:szCs w:val="24"/>
      <w:u w:val="single"/>
    </w:rPr>
  </w:style>
  <w:style w:type="paragraph" w:customStyle="1" w:styleId="Centered">
    <w:name w:val="Centered"/>
    <w:basedOn w:val="Normal"/>
    <w:qFormat/>
    <w:rsid w:val="005D4BA2"/>
    <w:pPr>
      <w:keepNext/>
      <w:tabs>
        <w:tab w:val="left" w:pos="720"/>
        <w:tab w:val="left" w:pos="1440"/>
        <w:tab w:val="left" w:pos="2160"/>
      </w:tabs>
      <w:spacing w:before="480" w:after="120"/>
      <w:jc w:val="center"/>
    </w:pPr>
    <w:rPr>
      <w:rFonts w:ascii="Times New Roman" w:hAnsi="Times New Roman"/>
      <w:b/>
      <w:caps/>
    </w:rPr>
  </w:style>
  <w:style w:type="paragraph" w:customStyle="1" w:styleId="Indent">
    <w:name w:val="Indent"/>
    <w:basedOn w:val="Normal"/>
    <w:qFormat/>
    <w:rsid w:val="005D4BA2"/>
    <w:pPr>
      <w:tabs>
        <w:tab w:val="left" w:pos="-417"/>
        <w:tab w:val="left" w:pos="0"/>
        <w:tab w:val="left" w:pos="720"/>
        <w:tab w:val="left" w:pos="1440"/>
        <w:tab w:val="left" w:pos="2160"/>
      </w:tabs>
      <w:suppressAutoHyphens/>
      <w:spacing w:before="120" w:after="120"/>
      <w:ind w:firstLine="360"/>
    </w:pPr>
    <w:rPr>
      <w:rFonts w:ascii="Times New Roman" w:hAnsi="Times New Roman"/>
      <w:bCs/>
    </w:rPr>
  </w:style>
  <w:style w:type="paragraph" w:customStyle="1" w:styleId="Engineernotetop">
    <w:name w:val="Engineer note top"/>
    <w:next w:val="Normal"/>
    <w:qFormat/>
    <w:rsid w:val="005D4BA2"/>
    <w:pPr>
      <w:keepNext/>
      <w:spacing w:before="240"/>
    </w:pPr>
    <w:rPr>
      <w:rFonts w:ascii="Times New Roman Bold" w:hAnsi="Times New Roman Bold"/>
      <w:b/>
      <w:sz w:val="22"/>
    </w:rPr>
  </w:style>
  <w:style w:type="paragraph" w:customStyle="1" w:styleId="itemsandstandards">
    <w:name w:val="items and standards"/>
    <w:basedOn w:val="Normal"/>
    <w:qFormat/>
    <w:rsid w:val="005D4BA2"/>
    <w:pPr>
      <w:suppressAutoHyphens/>
      <w:spacing w:before="120" w:after="120"/>
      <w:ind w:left="2160" w:hanging="2160"/>
    </w:pPr>
    <w:rPr>
      <w:rFonts w:ascii="Times New Roman" w:hAnsi="Times New Roman"/>
    </w:rPr>
  </w:style>
  <w:style w:type="paragraph" w:customStyle="1" w:styleId="CenteredBoldedEndofSection">
    <w:name w:val="Centered Bolded End of Section"/>
    <w:basedOn w:val="Centered"/>
    <w:qFormat/>
    <w:rsid w:val="005D4BA2"/>
    <w:pPr>
      <w:keepNext w:val="0"/>
    </w:pPr>
    <w:rPr>
      <w:rFonts w:ascii="Times New Roman Bold" w:hAnsi="Times New Roman Bold"/>
      <w:b w:val="0"/>
    </w:rPr>
  </w:style>
  <w:style w:type="paragraph" w:customStyle="1" w:styleId="EngineerNoteskeepwithnext">
    <w:name w:val="Engineer Notes keep with next"/>
    <w:basedOn w:val="Normal"/>
    <w:qFormat/>
    <w:rsid w:val="005D4BA2"/>
    <w:pPr>
      <w:keepNext/>
      <w:tabs>
        <w:tab w:val="left" w:pos="-417"/>
        <w:tab w:val="left" w:pos="720"/>
        <w:tab w:val="left" w:pos="1440"/>
        <w:tab w:val="left" w:pos="2160"/>
      </w:tabs>
      <w:suppressAutoHyphens/>
      <w:spacing w:before="120" w:after="120"/>
      <w:ind w:left="720" w:right="720"/>
    </w:pPr>
    <w:rPr>
      <w:rFonts w:ascii="Times New Roman Bold" w:hAnsi="Times New Roman Bold"/>
      <w:b/>
    </w:rPr>
  </w:style>
  <w:style w:type="paragraph" w:styleId="Revision">
    <w:name w:val="Revision"/>
    <w:hidden/>
    <w:uiPriority w:val="99"/>
    <w:semiHidden/>
    <w:rsid w:val="00ED710E"/>
    <w:rPr>
      <w:rFonts w:ascii="Arial" w:hAnsi="Arial"/>
      <w:sz w:val="22"/>
    </w:rPr>
  </w:style>
  <w:style w:type="paragraph" w:styleId="ListParagraph">
    <w:name w:val="List Paragraph"/>
    <w:basedOn w:val="Normal"/>
    <w:uiPriority w:val="34"/>
    <w:qFormat/>
    <w:rsid w:val="00EA0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19826">
      <w:bodyDiv w:val="1"/>
      <w:marLeft w:val="0"/>
      <w:marRight w:val="0"/>
      <w:marTop w:val="0"/>
      <w:marBottom w:val="0"/>
      <w:divBdr>
        <w:top w:val="none" w:sz="0" w:space="0" w:color="auto"/>
        <w:left w:val="none" w:sz="0" w:space="0" w:color="auto"/>
        <w:bottom w:val="none" w:sz="0" w:space="0" w:color="auto"/>
        <w:right w:val="none" w:sz="0" w:space="0" w:color="auto"/>
      </w:divBdr>
      <w:divsChild>
        <w:div w:id="185368125">
          <w:marLeft w:val="0"/>
          <w:marRight w:val="0"/>
          <w:marTop w:val="0"/>
          <w:marBottom w:val="0"/>
          <w:divBdr>
            <w:top w:val="none" w:sz="0" w:space="0" w:color="auto"/>
            <w:left w:val="none" w:sz="0" w:space="0" w:color="auto"/>
            <w:bottom w:val="none" w:sz="0" w:space="0" w:color="auto"/>
            <w:right w:val="none" w:sz="0" w:space="0" w:color="auto"/>
          </w:divBdr>
          <w:divsChild>
            <w:div w:id="1452506785">
              <w:marLeft w:val="0"/>
              <w:marRight w:val="0"/>
              <w:marTop w:val="0"/>
              <w:marBottom w:val="0"/>
              <w:divBdr>
                <w:top w:val="none" w:sz="0" w:space="0" w:color="auto"/>
                <w:left w:val="none" w:sz="0" w:space="0" w:color="auto"/>
                <w:bottom w:val="none" w:sz="0" w:space="0" w:color="auto"/>
                <w:right w:val="none" w:sz="0" w:space="0" w:color="auto"/>
              </w:divBdr>
              <w:divsChild>
                <w:div w:id="868565319">
                  <w:marLeft w:val="0"/>
                  <w:marRight w:val="0"/>
                  <w:marTop w:val="0"/>
                  <w:marBottom w:val="0"/>
                  <w:divBdr>
                    <w:top w:val="none" w:sz="0" w:space="0" w:color="auto"/>
                    <w:left w:val="none" w:sz="0" w:space="0" w:color="auto"/>
                    <w:bottom w:val="none" w:sz="0" w:space="0" w:color="auto"/>
                    <w:right w:val="none" w:sz="0" w:space="0" w:color="auto"/>
                  </w:divBdr>
                  <w:divsChild>
                    <w:div w:id="11877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212980">
      <w:bodyDiv w:val="1"/>
      <w:marLeft w:val="0"/>
      <w:marRight w:val="0"/>
      <w:marTop w:val="0"/>
      <w:marBottom w:val="0"/>
      <w:divBdr>
        <w:top w:val="none" w:sz="0" w:space="0" w:color="auto"/>
        <w:left w:val="none" w:sz="0" w:space="0" w:color="auto"/>
        <w:bottom w:val="none" w:sz="0" w:space="0" w:color="auto"/>
        <w:right w:val="none" w:sz="0" w:space="0" w:color="auto"/>
      </w:divBdr>
    </w:div>
    <w:div w:id="1210219300">
      <w:bodyDiv w:val="1"/>
      <w:marLeft w:val="0"/>
      <w:marRight w:val="0"/>
      <w:marTop w:val="0"/>
      <w:marBottom w:val="0"/>
      <w:divBdr>
        <w:top w:val="none" w:sz="0" w:space="0" w:color="auto"/>
        <w:left w:val="none" w:sz="0" w:space="0" w:color="auto"/>
        <w:bottom w:val="none" w:sz="0" w:space="0" w:color="auto"/>
        <w:right w:val="none" w:sz="0" w:space="0" w:color="auto"/>
      </w:divBdr>
      <w:divsChild>
        <w:div w:id="716467743">
          <w:marLeft w:val="0"/>
          <w:marRight w:val="0"/>
          <w:marTop w:val="0"/>
          <w:marBottom w:val="0"/>
          <w:divBdr>
            <w:top w:val="none" w:sz="0" w:space="0" w:color="auto"/>
            <w:left w:val="none" w:sz="0" w:space="0" w:color="auto"/>
            <w:bottom w:val="none" w:sz="0" w:space="0" w:color="auto"/>
            <w:right w:val="none" w:sz="0" w:space="0" w:color="auto"/>
          </w:divBdr>
          <w:divsChild>
            <w:div w:id="500583430">
              <w:marLeft w:val="0"/>
              <w:marRight w:val="0"/>
              <w:marTop w:val="0"/>
              <w:marBottom w:val="0"/>
              <w:divBdr>
                <w:top w:val="none" w:sz="0" w:space="0" w:color="auto"/>
                <w:left w:val="none" w:sz="0" w:space="0" w:color="auto"/>
                <w:bottom w:val="none" w:sz="0" w:space="0" w:color="auto"/>
                <w:right w:val="none" w:sz="0" w:space="0" w:color="auto"/>
              </w:divBdr>
              <w:divsChild>
                <w:div w:id="1568761003">
                  <w:marLeft w:val="0"/>
                  <w:marRight w:val="0"/>
                  <w:marTop w:val="0"/>
                  <w:marBottom w:val="0"/>
                  <w:divBdr>
                    <w:top w:val="none" w:sz="0" w:space="0" w:color="auto"/>
                    <w:left w:val="none" w:sz="0" w:space="0" w:color="auto"/>
                    <w:bottom w:val="none" w:sz="0" w:space="0" w:color="auto"/>
                    <w:right w:val="none" w:sz="0" w:space="0" w:color="auto"/>
                  </w:divBdr>
                  <w:divsChild>
                    <w:div w:id="7963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3" ma:contentTypeDescription="Create a new document." ma:contentTypeScope="" ma:versionID="710858428dd98058a9281870de264b68">
  <xsd:schema xmlns:xsd="http://www.w3.org/2001/XMLSchema" xmlns:xs="http://www.w3.org/2001/XMLSchema" xmlns:p="http://schemas.microsoft.com/office/2006/metadata/properties" targetNamespace="http://schemas.microsoft.com/office/2006/metadata/properties" ma:root="true" ma:fieldsID="96896dda14b38fb154c726fb144150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C30B1-1C58-45EC-967A-982C03F86092}"/>
</file>

<file path=customXml/itemProps2.xml><?xml version="1.0" encoding="utf-8"?>
<ds:datastoreItem xmlns:ds="http://schemas.openxmlformats.org/officeDocument/2006/customXml" ds:itemID="{015B70E8-6EB8-4DE1-BD0C-1F2AFE1C88ED}">
  <ds:schemaRefs>
    <ds:schemaRef ds:uri="http://schemas.microsoft.com/sharepoint/v3/contenttype/forms"/>
  </ds:schemaRefs>
</ds:datastoreItem>
</file>

<file path=customXml/itemProps3.xml><?xml version="1.0" encoding="utf-8"?>
<ds:datastoreItem xmlns:ds="http://schemas.openxmlformats.org/officeDocument/2006/customXml" ds:itemID="{7E49B58A-897B-443C-9A56-008A63C51A8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3AE1DE9-8895-4A09-AEF8-CD3996EE06E4}">
  <ds:schemaRefs>
    <ds:schemaRef ds:uri="Microsoft.SharePoint.Taxonomy.ContentTypeSync"/>
  </ds:schemaRefs>
</ds:datastoreItem>
</file>

<file path=customXml/itemProps5.xml><?xml version="1.0" encoding="utf-8"?>
<ds:datastoreItem xmlns:ds="http://schemas.openxmlformats.org/officeDocument/2006/customXml" ds:itemID="{087CC87B-0FF0-4962-B8B9-916CC42C7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1605</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02633 - Manholes, Catch Basins, Inlets and Inspection Holes (FAA)</vt:lpstr>
    </vt:vector>
  </TitlesOfParts>
  <Manager>Reza Soltani</Manager>
  <Company>Port of Seattle</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02633 - Manholes, Catch Basins, Inlets and Inspection Holes (FAA)</dc:title>
  <dc:subject>Division 2 - Site Work</dc:subject>
  <dc:creator>FAA</dc:creator>
  <cp:keywords/>
  <cp:lastModifiedBy>Gill, Tracy</cp:lastModifiedBy>
  <cp:revision>13</cp:revision>
  <cp:lastPrinted>2015-01-06T19:12:00Z</cp:lastPrinted>
  <dcterms:created xsi:type="dcterms:W3CDTF">2020-02-22T00:06:00Z</dcterms:created>
  <dcterms:modified xsi:type="dcterms:W3CDTF">2020-04-13T20:23:00Z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